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A8" w:rsidRPr="00125506" w:rsidRDefault="001F2FA8" w:rsidP="001F2FA8">
      <w:pPr>
        <w:pStyle w:val="NormalWeb"/>
        <w:shd w:val="clear" w:color="auto" w:fill="FFFFFF"/>
        <w:spacing w:before="0" w:beforeAutospacing="0" w:after="0" w:afterAutospacing="0" w:line="288" w:lineRule="atLeast"/>
        <w:rPr>
          <w:rFonts w:ascii="Arial" w:hAnsi="Arial" w:cs="Arial"/>
          <w:b/>
          <w:bCs/>
          <w:color w:val="000000"/>
          <w:sz w:val="23"/>
          <w:szCs w:val="23"/>
          <w:shd w:val="clear" w:color="auto" w:fill="FFFFFF"/>
        </w:rPr>
      </w:pPr>
      <w:r w:rsidRPr="001F2FA8">
        <w:rPr>
          <w:rStyle w:val="lev"/>
          <w:rFonts w:ascii="Arial" w:hAnsi="Arial" w:cs="Arial"/>
          <w:color w:val="000000"/>
          <w:sz w:val="23"/>
          <w:szCs w:val="23"/>
          <w:shd w:val="clear" w:color="auto" w:fill="FFFFFF"/>
        </w:rPr>
        <w:t xml:space="preserve">Vérification de la maîtrise </w:t>
      </w:r>
      <w:proofErr w:type="gramStart"/>
      <w:r w:rsidRPr="001F2FA8">
        <w:rPr>
          <w:rStyle w:val="lev"/>
          <w:rFonts w:ascii="Arial" w:hAnsi="Arial" w:cs="Arial"/>
          <w:color w:val="000000"/>
          <w:sz w:val="23"/>
          <w:szCs w:val="23"/>
          <w:shd w:val="clear" w:color="auto" w:fill="FFFFFF"/>
        </w:rPr>
        <w:t xml:space="preserve">des </w:t>
      </w:r>
      <w:r w:rsidR="00F3248C" w:rsidRPr="001F2FA8">
        <w:rPr>
          <w:rStyle w:val="lev"/>
          <w:rFonts w:ascii="Arial" w:hAnsi="Arial" w:cs="Arial"/>
          <w:color w:val="000000"/>
          <w:sz w:val="23"/>
          <w:szCs w:val="23"/>
          <w:shd w:val="clear" w:color="auto" w:fill="FFFFFF"/>
        </w:rPr>
        <w:t>pré</w:t>
      </w:r>
      <w:proofErr w:type="gramEnd"/>
      <w:r w:rsidR="00F3248C" w:rsidRPr="001F2FA8">
        <w:rPr>
          <w:rStyle w:val="lev"/>
          <w:rFonts w:ascii="Arial" w:hAnsi="Arial" w:cs="Arial"/>
          <w:color w:val="000000"/>
          <w:sz w:val="23"/>
          <w:szCs w:val="23"/>
          <w:shd w:val="clear" w:color="auto" w:fill="FFFFFF"/>
        </w:rPr>
        <w:t xml:space="preserve"> requis</w:t>
      </w:r>
      <w:r>
        <w:rPr>
          <w:rStyle w:val="lev"/>
          <w:rFonts w:ascii="Arial" w:hAnsi="Arial" w:cs="Arial"/>
          <w:color w:val="000000"/>
          <w:sz w:val="23"/>
          <w:szCs w:val="23"/>
          <w:shd w:val="clear" w:color="auto" w:fill="FFFFFF"/>
        </w:rPr>
        <w:t xml:space="preserve"> conformément à l’arrêté du 26 décembre 2012 relatif à la formation des coordonnateurs en matière de sécurité et de protection de la santé</w:t>
      </w:r>
      <w:r w:rsidR="00125506">
        <w:rPr>
          <w:rStyle w:val="lev"/>
          <w:rFonts w:ascii="Arial" w:hAnsi="Arial" w:cs="Arial"/>
          <w:color w:val="000000"/>
          <w:sz w:val="23"/>
          <w:szCs w:val="23"/>
          <w:shd w:val="clear" w:color="auto" w:fill="FFFFFF"/>
        </w:rPr>
        <w:t>.</w:t>
      </w:r>
    </w:p>
    <w:p w:rsidR="009024A6" w:rsidRDefault="00F76093" w:rsidP="001F2FA8">
      <w:pPr>
        <w:pStyle w:val="NormalWeb"/>
        <w:shd w:val="clear" w:color="auto" w:fill="FFFFFF"/>
        <w:spacing w:before="0" w:beforeAutospacing="0" w:after="0" w:afterAutospacing="0" w:line="288" w:lineRule="atLeast"/>
        <w:rPr>
          <w:rFonts w:ascii="Arial" w:hAnsi="Arial" w:cs="Arial"/>
          <w:color w:val="000000"/>
          <w:sz w:val="19"/>
          <w:szCs w:val="19"/>
        </w:rPr>
      </w:pPr>
      <w:r>
        <w:rPr>
          <w:rFonts w:ascii="Arial" w:hAnsi="Arial" w:cs="Arial"/>
          <w:noProof/>
          <w:color w:val="000000"/>
          <w:sz w:val="19"/>
          <w:szCs w:val="19"/>
          <w:lang w:eastAsia="en-US"/>
        </w:rPr>
        <w:pict>
          <v:roundrect id="_x0000_s1027" style="position:absolute;margin-left:169.8pt;margin-top:68.5pt;width:288.85pt;height:258.9pt;z-index:251662336;mso-position-horizontal-relative:margin;mso-position-vertical-relative:margin;mso-width-relative:margin;mso-height-relative:margin" arcsize="6811f" o:allowincell="f" fillcolor="#4f81bd [3204]" strokecolor="#4f81bd [3204]">
            <v:shadow on="t" type="perspective" color="#bfbfbf [2412]" opacity=".5" origin="-.5,-.5" offset="51pt,-10pt" offset2="114pt,-8pt" matrix=".75,,,.75"/>
            <v:textbox style="mso-next-textbox:#_x0000_s1027" inset="18pt,18pt,18pt,18pt">
              <w:txbxContent>
                <w:p w:rsidR="009024A6" w:rsidRPr="009024A6" w:rsidRDefault="009024A6" w:rsidP="009024A6">
                  <w:pPr>
                    <w:rPr>
                      <w:rFonts w:ascii="Arial" w:hAnsi="Arial" w:cs="Arial"/>
                      <w:b/>
                      <w:color w:val="FFFFFF" w:themeColor="background1"/>
                      <w:sz w:val="19"/>
                      <w:szCs w:val="19"/>
                    </w:rPr>
                  </w:pPr>
                  <w:r w:rsidRPr="009024A6">
                    <w:rPr>
                      <w:rFonts w:ascii="Arial" w:hAnsi="Arial" w:cs="Arial"/>
                      <w:b/>
                      <w:color w:val="FFFFFF" w:themeColor="background1"/>
                      <w:sz w:val="19"/>
                      <w:szCs w:val="19"/>
                    </w:rPr>
                    <w:t>Bâtiment et Génie civil</w:t>
                  </w:r>
                </w:p>
                <w:p w:rsidR="009024A6" w:rsidRDefault="009024A6" w:rsidP="009024A6">
                  <w:pPr>
                    <w:rPr>
                      <w:rFonts w:ascii="Arial" w:hAnsi="Arial" w:cs="Arial"/>
                      <w:color w:val="FFFFFF" w:themeColor="background1"/>
                      <w:sz w:val="19"/>
                      <w:szCs w:val="19"/>
                    </w:rPr>
                  </w:pPr>
                  <w:r w:rsidRPr="009024A6">
                    <w:rPr>
                      <w:rFonts w:ascii="Arial" w:hAnsi="Arial" w:cs="Arial"/>
                      <w:color w:val="FFFFFF" w:themeColor="background1"/>
                      <w:sz w:val="19"/>
                      <w:szCs w:val="19"/>
                    </w:rPr>
                    <w:t xml:space="preserve">Le </w:t>
                  </w:r>
                  <w:r>
                    <w:rPr>
                      <w:rFonts w:ascii="Arial" w:hAnsi="Arial" w:cs="Arial"/>
                      <w:color w:val="FFFFFF" w:themeColor="background1"/>
                      <w:sz w:val="19"/>
                      <w:szCs w:val="19"/>
                    </w:rPr>
                    <w:t xml:space="preserve">formateur s’assure que le </w:t>
                  </w:r>
                  <w:r w:rsidRPr="009024A6">
                    <w:rPr>
                      <w:rFonts w:ascii="Arial" w:hAnsi="Arial" w:cs="Arial"/>
                      <w:color w:val="FFFFFF" w:themeColor="background1"/>
                      <w:sz w:val="19"/>
                      <w:szCs w:val="19"/>
                    </w:rPr>
                    <w:t>postulant maîtrise le vocabulaire technique du bâtiment et du génie civil afin de communiquer efficacement avec ses acteurs. Il dispose des connaissances techniques en matière de bâtiment et de génie civil (principes constructifs, milieu, méthodes, organisation, planification, matériaux, matériels, moyens, lecture de plans...).</w:t>
                  </w:r>
                  <w:r w:rsidRPr="009024A6">
                    <w:rPr>
                      <w:rFonts w:ascii="Arial" w:hAnsi="Arial" w:cs="Arial"/>
                      <w:color w:val="FFFFFF" w:themeColor="background1"/>
                      <w:sz w:val="19"/>
                      <w:szCs w:val="19"/>
                    </w:rPr>
                    <w:br/>
                  </w:r>
                </w:p>
                <w:p w:rsidR="009024A6" w:rsidRPr="009024A6" w:rsidRDefault="009024A6" w:rsidP="009024A6">
                  <w:pPr>
                    <w:rPr>
                      <w:color w:val="FFFFFF" w:themeColor="background1"/>
                      <w:sz w:val="18"/>
                      <w:szCs w:val="18"/>
                    </w:rPr>
                  </w:pPr>
                  <w:r w:rsidRPr="009024A6">
                    <w:rPr>
                      <w:rFonts w:ascii="Arial" w:hAnsi="Arial" w:cs="Arial"/>
                      <w:color w:val="FFFFFF" w:themeColor="background1"/>
                      <w:sz w:val="19"/>
                      <w:szCs w:val="19"/>
                    </w:rPr>
                    <w:t>Il est capable d'identifier les acteurs de la construction, leurs rôles, leurs missions et leurs interrelations et de situer un projet de construction dans son environnement économique, organisationnel, technique, administratif et juridique</w:t>
                  </w:r>
                </w:p>
              </w:txbxContent>
            </v:textbox>
            <w10:wrap type="square" anchorx="margin" anchory="margin"/>
          </v:roundrect>
        </w:pict>
      </w:r>
      <w:r>
        <w:rPr>
          <w:rFonts w:ascii="Arial" w:hAnsi="Arial" w:cs="Arial"/>
          <w:noProof/>
          <w:color w:val="000000"/>
          <w:sz w:val="19"/>
          <w:szCs w:val="19"/>
          <w:lang w:eastAsia="en-US"/>
        </w:rPr>
        <w:pict>
          <v:roundrect id="_x0000_s1028" style="position:absolute;margin-left:-40.1pt;margin-top:352.8pt;width:498.75pt;height:154.6pt;z-index:251664384;mso-position-horizontal-relative:margin;mso-position-vertical-relative:margin;mso-width-relative:margin;mso-height-relative:margin" arcsize="6811f" o:allowincell="f" fillcolor="#4f81bd [3204]" strokecolor="#4f81bd [3204]">
            <v:shadow on="t" type="perspective" color="#bfbfbf [2412]" opacity=".5" origin="-.5,-.5" offset="51pt,-10pt" offset2="114pt,-8pt" matrix=".75,,,.75"/>
            <v:textbox style="mso-next-textbox:#_x0000_s1028" inset="18pt,18pt,18pt,18pt">
              <w:txbxContent>
                <w:p w:rsidR="00125506" w:rsidRPr="00125506" w:rsidRDefault="009A56BB" w:rsidP="00125506">
                  <w:pPr>
                    <w:spacing w:after="0"/>
                    <w:rPr>
                      <w:rFonts w:ascii="Arial" w:hAnsi="Arial" w:cs="Arial"/>
                      <w:b/>
                      <w:color w:val="FFFFFF" w:themeColor="background1"/>
                      <w:sz w:val="19"/>
                      <w:szCs w:val="19"/>
                    </w:rPr>
                  </w:pPr>
                  <w:r>
                    <w:rPr>
                      <w:rFonts w:ascii="Arial" w:hAnsi="Arial" w:cs="Arial"/>
                      <w:b/>
                      <w:color w:val="FFFFFF" w:themeColor="background1"/>
                      <w:sz w:val="19"/>
                      <w:szCs w:val="19"/>
                    </w:rPr>
                    <w:t>L’UNCOS</w:t>
                  </w:r>
                  <w:r w:rsidR="00125506" w:rsidRPr="00125506">
                    <w:rPr>
                      <w:rFonts w:ascii="Arial" w:hAnsi="Arial" w:cs="Arial"/>
                      <w:b/>
                      <w:color w:val="FFFFFF" w:themeColor="background1"/>
                      <w:sz w:val="19"/>
                      <w:szCs w:val="19"/>
                    </w:rPr>
                    <w:t xml:space="preserve"> s'assure de la maîtrise </w:t>
                  </w:r>
                  <w:proofErr w:type="gramStart"/>
                  <w:r w:rsidR="00125506" w:rsidRPr="00125506">
                    <w:rPr>
                      <w:rFonts w:ascii="Arial" w:hAnsi="Arial" w:cs="Arial"/>
                      <w:b/>
                      <w:color w:val="FFFFFF" w:themeColor="background1"/>
                      <w:sz w:val="19"/>
                      <w:szCs w:val="19"/>
                    </w:rPr>
                    <w:t>des pré</w:t>
                  </w:r>
                  <w:proofErr w:type="gramEnd"/>
                  <w:r w:rsidR="00404068">
                    <w:rPr>
                      <w:rFonts w:ascii="Arial" w:hAnsi="Arial" w:cs="Arial"/>
                      <w:b/>
                      <w:color w:val="FFFFFF" w:themeColor="background1"/>
                      <w:sz w:val="19"/>
                      <w:szCs w:val="19"/>
                    </w:rPr>
                    <w:t xml:space="preserve"> </w:t>
                  </w:r>
                  <w:r w:rsidR="00125506" w:rsidRPr="00125506">
                    <w:rPr>
                      <w:rFonts w:ascii="Arial" w:hAnsi="Arial" w:cs="Arial"/>
                      <w:b/>
                      <w:color w:val="FFFFFF" w:themeColor="background1"/>
                      <w:sz w:val="19"/>
                      <w:szCs w:val="19"/>
                    </w:rPr>
                    <w:t>requis, pour chaque postulant :</w:t>
                  </w:r>
                </w:p>
                <w:p w:rsidR="00125506" w:rsidRDefault="00125506" w:rsidP="00125506">
                  <w:pPr>
                    <w:spacing w:after="0"/>
                    <w:rPr>
                      <w:rFonts w:ascii="Arial" w:hAnsi="Arial" w:cs="Arial"/>
                      <w:color w:val="FFFFFF" w:themeColor="background1"/>
                      <w:sz w:val="19"/>
                      <w:szCs w:val="19"/>
                    </w:rPr>
                  </w:pPr>
                  <w:r w:rsidRPr="00125506">
                    <w:rPr>
                      <w:rFonts w:ascii="Arial" w:hAnsi="Arial" w:cs="Arial"/>
                      <w:color w:val="FFFFFF" w:themeColor="background1"/>
                      <w:sz w:val="19"/>
                      <w:szCs w:val="19"/>
                    </w:rPr>
                    <w:br/>
                    <w:t xml:space="preserve">- par un contrôle sur pièces des justificatifs présentés par le stagiaire, à savoir ses titres, diplômes, attestations d'employeurs, tous documents retraçant son parcours professionnel ou universitaire. </w:t>
                  </w:r>
                </w:p>
                <w:p w:rsidR="00125506" w:rsidRDefault="00125506" w:rsidP="00125506">
                  <w:pPr>
                    <w:spacing w:after="0"/>
                    <w:rPr>
                      <w:rFonts w:ascii="Arial" w:hAnsi="Arial" w:cs="Arial"/>
                      <w:color w:val="FFFFFF" w:themeColor="background1"/>
                      <w:sz w:val="19"/>
                      <w:szCs w:val="19"/>
                    </w:rPr>
                  </w:pPr>
                  <w:r w:rsidRPr="00125506">
                    <w:rPr>
                      <w:rFonts w:ascii="Arial" w:hAnsi="Arial" w:cs="Arial"/>
                      <w:color w:val="FFFFFF" w:themeColor="background1"/>
                      <w:sz w:val="19"/>
                      <w:szCs w:val="19"/>
                    </w:rPr>
                    <w:t xml:space="preserve">Pour confirmer son appréciation, </w:t>
                  </w:r>
                  <w:r w:rsidR="009A56BB">
                    <w:rPr>
                      <w:rFonts w:ascii="Arial" w:hAnsi="Arial" w:cs="Arial"/>
                      <w:color w:val="FFFFFF" w:themeColor="background1"/>
                      <w:sz w:val="19"/>
                      <w:szCs w:val="19"/>
                    </w:rPr>
                    <w:t>l’UNCOS</w:t>
                  </w:r>
                  <w:r w:rsidRPr="00125506">
                    <w:rPr>
                      <w:rFonts w:ascii="Arial" w:hAnsi="Arial" w:cs="Arial"/>
                      <w:color w:val="FFFFFF" w:themeColor="background1"/>
                      <w:sz w:val="19"/>
                      <w:szCs w:val="19"/>
                    </w:rPr>
                    <w:t xml:space="preserve"> </w:t>
                  </w:r>
                  <w:r>
                    <w:rPr>
                      <w:rFonts w:ascii="Arial" w:hAnsi="Arial" w:cs="Arial"/>
                      <w:color w:val="FFFFFF" w:themeColor="background1"/>
                      <w:sz w:val="19"/>
                      <w:szCs w:val="19"/>
                    </w:rPr>
                    <w:t>organise</w:t>
                  </w:r>
                  <w:r w:rsidRPr="00125506">
                    <w:rPr>
                      <w:rFonts w:ascii="Arial" w:hAnsi="Arial" w:cs="Arial"/>
                      <w:color w:val="FFFFFF" w:themeColor="background1"/>
                      <w:sz w:val="19"/>
                      <w:szCs w:val="19"/>
                    </w:rPr>
                    <w:t xml:space="preserve"> des tests (questions à choix multiples, exercice[s] pratique[s], étude[s] de cas).</w:t>
                  </w:r>
                </w:p>
                <w:p w:rsidR="00125506" w:rsidRDefault="00125506" w:rsidP="00125506">
                  <w:pPr>
                    <w:spacing w:after="0"/>
                    <w:rPr>
                      <w:rFonts w:ascii="Arial" w:hAnsi="Arial" w:cs="Arial"/>
                      <w:color w:val="FFFFFF" w:themeColor="background1"/>
                      <w:sz w:val="19"/>
                      <w:szCs w:val="19"/>
                    </w:rPr>
                  </w:pPr>
                </w:p>
                <w:p w:rsidR="00125506" w:rsidRPr="00125506" w:rsidRDefault="00125506" w:rsidP="00125506">
                  <w:pPr>
                    <w:spacing w:after="0"/>
                    <w:rPr>
                      <w:color w:val="FFFFFF" w:themeColor="background1"/>
                      <w:sz w:val="18"/>
                      <w:szCs w:val="18"/>
                    </w:rPr>
                  </w:pPr>
                  <w:r w:rsidRPr="00125506">
                    <w:rPr>
                      <w:rFonts w:ascii="Arial" w:hAnsi="Arial" w:cs="Arial"/>
                      <w:color w:val="FFFFFF" w:themeColor="background1"/>
                      <w:sz w:val="19"/>
                      <w:szCs w:val="19"/>
                    </w:rPr>
                    <w:t>- par un entretien qui permet de vérifier les connaissances générales du postulant et de s</w:t>
                  </w:r>
                  <w:r>
                    <w:rPr>
                      <w:rFonts w:ascii="Arial" w:hAnsi="Arial" w:cs="Arial"/>
                      <w:color w:val="FFFFFF" w:themeColor="background1"/>
                      <w:sz w:val="19"/>
                      <w:szCs w:val="19"/>
                    </w:rPr>
                    <w:t>’</w:t>
                  </w:r>
                  <w:r w:rsidRPr="00125506">
                    <w:rPr>
                      <w:rFonts w:ascii="Arial" w:hAnsi="Arial" w:cs="Arial"/>
                      <w:color w:val="FFFFFF" w:themeColor="background1"/>
                      <w:sz w:val="19"/>
                      <w:szCs w:val="19"/>
                    </w:rPr>
                    <w:t>assurer de l</w:t>
                  </w:r>
                  <w:r>
                    <w:rPr>
                      <w:rFonts w:ascii="Arial" w:hAnsi="Arial" w:cs="Arial"/>
                      <w:color w:val="FFFFFF" w:themeColor="background1"/>
                      <w:sz w:val="19"/>
                      <w:szCs w:val="19"/>
                    </w:rPr>
                    <w:t>’</w:t>
                  </w:r>
                  <w:r w:rsidRPr="00125506">
                    <w:rPr>
                      <w:rFonts w:ascii="Arial" w:hAnsi="Arial" w:cs="Arial"/>
                      <w:color w:val="FFFFFF" w:themeColor="background1"/>
                      <w:sz w:val="19"/>
                      <w:szCs w:val="19"/>
                    </w:rPr>
                    <w:t>expérience professionnelle présentée</w:t>
                  </w:r>
                  <w:r>
                    <w:rPr>
                      <w:rFonts w:ascii="Arial" w:hAnsi="Arial" w:cs="Arial"/>
                      <w:color w:val="FFFFFF" w:themeColor="background1"/>
                      <w:sz w:val="19"/>
                      <w:szCs w:val="19"/>
                    </w:rPr>
                    <w:t>.</w:t>
                  </w:r>
                  <w:r w:rsidRPr="00125506">
                    <w:rPr>
                      <w:rFonts w:ascii="Arial" w:hAnsi="Arial" w:cs="Arial"/>
                      <w:color w:val="FFFFFF" w:themeColor="background1"/>
                      <w:sz w:val="19"/>
                      <w:szCs w:val="19"/>
                    </w:rPr>
                    <w:br/>
                  </w:r>
                </w:p>
              </w:txbxContent>
            </v:textbox>
            <w10:wrap type="square" anchorx="margin" anchory="margin"/>
          </v:roundrect>
        </w:pict>
      </w:r>
      <w:r>
        <w:rPr>
          <w:rFonts w:ascii="Arial" w:hAnsi="Arial" w:cs="Arial"/>
          <w:noProof/>
          <w:color w:val="000000"/>
          <w:sz w:val="19"/>
          <w:szCs w:val="19"/>
          <w:lang w:eastAsia="en-US"/>
        </w:rPr>
        <w:pict>
          <v:roundrect id="_x0000_s1026" style="position:absolute;margin-left:-36.35pt;margin-top:68.5pt;width:187.95pt;height:258.9pt;z-index:251660288;mso-position-horizontal-relative:margin;mso-position-vertical-relative:margin;mso-width-relative:margin;mso-height-relative:margin" arcsize="6811f" o:allowincell="f" fillcolor="#4f81bd [3204]" strokecolor="#4f81bd [3204]">
            <v:shadow on="t" type="perspective" color="#bfbfbf [2412]" opacity=".5" origin="-.5,-.5" offset="51pt,-10pt" offset2="114pt,-8pt" matrix=".75,,,.75"/>
            <v:textbox style="mso-next-textbox:#_x0000_s1026" inset="18pt,18pt,18pt,18pt">
              <w:txbxContent>
                <w:p w:rsidR="001F2FA8" w:rsidRPr="001F2FA8" w:rsidRDefault="001F2FA8" w:rsidP="001F2FA8">
                  <w:pPr>
                    <w:rPr>
                      <w:rFonts w:ascii="Arial" w:hAnsi="Arial" w:cs="Arial"/>
                      <w:b/>
                      <w:color w:val="FFFFFF" w:themeColor="background1"/>
                      <w:sz w:val="19"/>
                      <w:szCs w:val="19"/>
                    </w:rPr>
                  </w:pPr>
                  <w:r w:rsidRPr="001F2FA8">
                    <w:rPr>
                      <w:rFonts w:ascii="Arial" w:hAnsi="Arial" w:cs="Arial"/>
                      <w:b/>
                      <w:color w:val="FFFFFF" w:themeColor="background1"/>
                      <w:sz w:val="19"/>
                      <w:szCs w:val="19"/>
                    </w:rPr>
                    <w:t>Prévention des risques professionnels</w:t>
                  </w:r>
                </w:p>
                <w:p w:rsidR="001F2FA8" w:rsidRDefault="001F2FA8" w:rsidP="001F2FA8">
                  <w:pPr>
                    <w:rPr>
                      <w:rFonts w:ascii="Arial" w:hAnsi="Arial" w:cs="Arial"/>
                      <w:color w:val="FFFFFF" w:themeColor="background1"/>
                      <w:sz w:val="19"/>
                      <w:szCs w:val="19"/>
                    </w:rPr>
                  </w:pPr>
                  <w:r w:rsidRPr="001F2FA8">
                    <w:rPr>
                      <w:rFonts w:ascii="Arial" w:hAnsi="Arial" w:cs="Arial"/>
                      <w:color w:val="FFFFFF" w:themeColor="background1"/>
                      <w:sz w:val="19"/>
                      <w:szCs w:val="19"/>
                    </w:rPr>
                    <w:t>Le formateur s’assure que le postulant maîtrise les notions de base relatives à la prévention et les enjeux de la prévention (dangers, risques, analyse des situations dégradées, des incidents et des accidents).</w:t>
                  </w:r>
                </w:p>
                <w:p w:rsidR="009024A6" w:rsidRPr="001F2FA8" w:rsidRDefault="009024A6" w:rsidP="001F2FA8">
                  <w:pPr>
                    <w:rPr>
                      <w:rFonts w:ascii="Arial" w:hAnsi="Arial" w:cs="Arial"/>
                      <w:color w:val="FFFFFF" w:themeColor="background1"/>
                      <w:sz w:val="19"/>
                      <w:szCs w:val="19"/>
                    </w:rPr>
                  </w:pPr>
                  <w:r>
                    <w:rPr>
                      <w:rFonts w:ascii="Arial" w:hAnsi="Arial" w:cs="Arial"/>
                      <w:color w:val="FFFFFF" w:themeColor="background1"/>
                      <w:sz w:val="19"/>
                      <w:szCs w:val="19"/>
                    </w:rPr>
                    <w:t>Et qu’il dispose également de notions suffisantes lui permettant de conduire une démarche de prévention des risques professionnels dans diverses situations de travail</w:t>
                  </w:r>
                </w:p>
              </w:txbxContent>
            </v:textbox>
            <w10:wrap type="square" anchorx="margin" anchory="margin"/>
          </v:roundrect>
        </w:pict>
      </w:r>
      <w:r>
        <w:rPr>
          <w:rFonts w:ascii="Arial" w:hAnsi="Arial" w:cs="Arial"/>
          <w:noProof/>
          <w:color w:val="000000"/>
          <w:sz w:val="19"/>
          <w:szCs w:val="19"/>
          <w:lang w:eastAsia="en-US"/>
        </w:rPr>
        <w:pict>
          <v:roundrect id="_x0000_s1029" style="position:absolute;margin-left:-36.35pt;margin-top:533.65pt;width:246pt;height:191.25pt;z-index:251666432;mso-position-horizontal-relative:margin;mso-position-vertical-relative:margin;mso-width-relative:margin;mso-height-relative:margin" arcsize="6811f" o:allowincell="f" fillcolor="#4f81bd [3204]" strokecolor="#4f81bd [3204]">
            <v:shadow on="t" type="perspective" color="#bfbfbf [2412]" opacity=".5" origin="-.5,-.5" offset="51pt,-10pt" offset2="114pt,-8pt" matrix=".75,,,.75"/>
            <v:textbox style="mso-next-textbox:#_x0000_s1029" inset="18pt,18pt,18pt,18pt">
              <w:txbxContent>
                <w:p w:rsidR="00125506" w:rsidRPr="00125506" w:rsidRDefault="00125506" w:rsidP="00125506">
                  <w:pPr>
                    <w:rPr>
                      <w:rFonts w:ascii="Arial" w:hAnsi="Arial" w:cs="Arial"/>
                      <w:b/>
                      <w:color w:val="FFFFFF" w:themeColor="background1"/>
                      <w:sz w:val="19"/>
                      <w:szCs w:val="19"/>
                    </w:rPr>
                  </w:pPr>
                  <w:r w:rsidRPr="00125506">
                    <w:rPr>
                      <w:rFonts w:ascii="Arial" w:hAnsi="Arial" w:cs="Arial"/>
                      <w:b/>
                      <w:color w:val="FFFFFF" w:themeColor="background1"/>
                      <w:sz w:val="19"/>
                      <w:szCs w:val="19"/>
                    </w:rPr>
                    <w:t xml:space="preserve">Conséquences de l'évaluation </w:t>
                  </w:r>
                </w:p>
                <w:p w:rsidR="00125506" w:rsidRDefault="00125506" w:rsidP="00125506">
                  <w:pPr>
                    <w:spacing w:after="0"/>
                    <w:rPr>
                      <w:rFonts w:ascii="Arial" w:hAnsi="Arial" w:cs="Arial"/>
                      <w:color w:val="FFFFFF" w:themeColor="background1"/>
                      <w:sz w:val="19"/>
                      <w:szCs w:val="19"/>
                    </w:rPr>
                  </w:pPr>
                  <w:r w:rsidRPr="00125506">
                    <w:rPr>
                      <w:rFonts w:ascii="Arial" w:hAnsi="Arial" w:cs="Arial"/>
                      <w:color w:val="FFFFFF" w:themeColor="background1"/>
                      <w:sz w:val="19"/>
                      <w:szCs w:val="19"/>
                    </w:rPr>
                    <w:t xml:space="preserve">L'UNCOS propose au postulant qui maîtrise </w:t>
                  </w:r>
                  <w:proofErr w:type="gramStart"/>
                  <w:r w:rsidRPr="00125506">
                    <w:rPr>
                      <w:rFonts w:ascii="Arial" w:hAnsi="Arial" w:cs="Arial"/>
                      <w:color w:val="FFFFFF" w:themeColor="background1"/>
                      <w:sz w:val="19"/>
                      <w:szCs w:val="19"/>
                    </w:rPr>
                    <w:t>les pré</w:t>
                  </w:r>
                  <w:proofErr w:type="gramEnd"/>
                  <w:r w:rsidR="00404068">
                    <w:rPr>
                      <w:rFonts w:ascii="Arial" w:hAnsi="Arial" w:cs="Arial"/>
                      <w:color w:val="FFFFFF" w:themeColor="background1"/>
                      <w:sz w:val="19"/>
                      <w:szCs w:val="19"/>
                    </w:rPr>
                    <w:t xml:space="preserve"> </w:t>
                  </w:r>
                  <w:r w:rsidRPr="00125506">
                    <w:rPr>
                      <w:rFonts w:ascii="Arial" w:hAnsi="Arial" w:cs="Arial"/>
                      <w:color w:val="FFFFFF" w:themeColor="background1"/>
                      <w:sz w:val="19"/>
                      <w:szCs w:val="19"/>
                    </w:rPr>
                    <w:t>requis des dates pour le stage de formation de coordonnateur SPS.</w:t>
                  </w:r>
                </w:p>
                <w:p w:rsidR="00125506" w:rsidRPr="00125506" w:rsidRDefault="00125506" w:rsidP="00125506">
                  <w:pPr>
                    <w:spacing w:after="0"/>
                    <w:rPr>
                      <w:color w:val="FFFFFF" w:themeColor="background1"/>
                      <w:sz w:val="18"/>
                      <w:szCs w:val="18"/>
                    </w:rPr>
                  </w:pPr>
                  <w:r w:rsidRPr="00125506">
                    <w:rPr>
                      <w:rFonts w:ascii="Arial" w:hAnsi="Arial" w:cs="Arial"/>
                      <w:color w:val="FFFFFF" w:themeColor="background1"/>
                      <w:sz w:val="19"/>
                      <w:szCs w:val="19"/>
                    </w:rPr>
                    <w:t xml:space="preserve">Dans le cas contraire, préalablement à son intégration à la formation de coordonnateur, </w:t>
                  </w:r>
                  <w:r w:rsidR="009A56BB">
                    <w:rPr>
                      <w:rFonts w:ascii="Arial" w:hAnsi="Arial" w:cs="Arial"/>
                      <w:color w:val="FFFFFF" w:themeColor="background1"/>
                      <w:sz w:val="19"/>
                      <w:szCs w:val="19"/>
                    </w:rPr>
                    <w:t>l’UNCOS</w:t>
                  </w:r>
                  <w:r w:rsidRPr="00125506">
                    <w:rPr>
                      <w:rFonts w:ascii="Arial" w:hAnsi="Arial" w:cs="Arial"/>
                      <w:color w:val="FFFFFF" w:themeColor="background1"/>
                      <w:sz w:val="19"/>
                      <w:szCs w:val="19"/>
                    </w:rPr>
                    <w:t xml:space="preserve"> propose au postulant de suivre une formation lui permettant d'acquérir </w:t>
                  </w:r>
                  <w:proofErr w:type="gramStart"/>
                  <w:r w:rsidRPr="00125506">
                    <w:rPr>
                      <w:rFonts w:ascii="Arial" w:hAnsi="Arial" w:cs="Arial"/>
                      <w:color w:val="FFFFFF" w:themeColor="background1"/>
                      <w:sz w:val="19"/>
                      <w:szCs w:val="19"/>
                    </w:rPr>
                    <w:t>les pré</w:t>
                  </w:r>
                  <w:proofErr w:type="gramEnd"/>
                  <w:r w:rsidR="00404068">
                    <w:rPr>
                      <w:rFonts w:ascii="Arial" w:hAnsi="Arial" w:cs="Arial"/>
                      <w:color w:val="FFFFFF" w:themeColor="background1"/>
                      <w:sz w:val="19"/>
                      <w:szCs w:val="19"/>
                    </w:rPr>
                    <w:t xml:space="preserve"> </w:t>
                  </w:r>
                  <w:r w:rsidRPr="00125506">
                    <w:rPr>
                      <w:rFonts w:ascii="Arial" w:hAnsi="Arial" w:cs="Arial"/>
                      <w:color w:val="FFFFFF" w:themeColor="background1"/>
                      <w:sz w:val="19"/>
                      <w:szCs w:val="19"/>
                    </w:rPr>
                    <w:t>requis qu'il ne maîtrise pas. Cette formation est suivie par le postulant dans l'organisme de formation de son choix.</w:t>
                  </w:r>
                </w:p>
              </w:txbxContent>
            </v:textbox>
            <w10:wrap type="square" anchorx="margin" anchory="margin"/>
          </v:roundrect>
        </w:pict>
      </w:r>
      <w:r w:rsidR="003D3C04">
        <w:rPr>
          <w:rFonts w:ascii="Arial" w:hAnsi="Arial" w:cs="Arial"/>
          <w:noProof/>
          <w:color w:val="000000"/>
          <w:sz w:val="19"/>
          <w:szCs w:val="19"/>
        </w:rPr>
        <w:drawing>
          <wp:anchor distT="0" distB="0" distL="114300" distR="114300" simplePos="0" relativeHeight="251667456" behindDoc="0" locked="0" layoutInCell="1" allowOverlap="1">
            <wp:simplePos x="0" y="0"/>
            <wp:positionH relativeFrom="margin">
              <wp:posOffset>3786505</wp:posOffset>
            </wp:positionH>
            <wp:positionV relativeFrom="margin">
              <wp:posOffset>6844030</wp:posOffset>
            </wp:positionV>
            <wp:extent cx="2066925" cy="533400"/>
            <wp:effectExtent l="19050" t="0" r="952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2066925" cy="533400"/>
                    </a:xfrm>
                    <a:prstGeom prst="rect">
                      <a:avLst/>
                    </a:prstGeom>
                  </pic:spPr>
                </pic:pic>
              </a:graphicData>
            </a:graphic>
          </wp:anchor>
        </w:drawing>
      </w:r>
    </w:p>
    <w:p w:rsidR="009024A6" w:rsidRDefault="009024A6" w:rsidP="001F2FA8">
      <w:pPr>
        <w:pStyle w:val="NormalWeb"/>
        <w:shd w:val="clear" w:color="auto" w:fill="FFFFFF"/>
        <w:spacing w:before="0" w:beforeAutospacing="0" w:after="0" w:afterAutospacing="0" w:line="288" w:lineRule="atLeast"/>
        <w:rPr>
          <w:rFonts w:ascii="Arial" w:hAnsi="Arial" w:cs="Arial"/>
          <w:color w:val="000000"/>
          <w:sz w:val="19"/>
          <w:szCs w:val="19"/>
        </w:rPr>
      </w:pPr>
    </w:p>
    <w:p w:rsidR="003D3C04" w:rsidRPr="003D3C04" w:rsidRDefault="003D3C04" w:rsidP="003D3C04">
      <w:pPr>
        <w:pStyle w:val="Sous-titre"/>
        <w:ind w:left="1416" w:firstLine="708"/>
        <w:jc w:val="right"/>
        <w:rPr>
          <w:rFonts w:asciiTheme="minorHAnsi" w:hAnsiTheme="minorHAnsi" w:cs="Arial"/>
          <w:i w:val="0"/>
          <w:color w:val="404040" w:themeColor="text1" w:themeTint="BF"/>
          <w:lang w:val="fr-FR"/>
        </w:rPr>
      </w:pPr>
      <w:r w:rsidRPr="003D3C04">
        <w:rPr>
          <w:rFonts w:asciiTheme="minorHAnsi" w:hAnsiTheme="minorHAnsi" w:cs="Arial"/>
          <w:i w:val="0"/>
          <w:color w:val="404040" w:themeColor="text1" w:themeTint="BF"/>
          <w:lang w:val="fr-FR"/>
        </w:rPr>
        <w:t>Route de Pamiers</w:t>
      </w:r>
    </w:p>
    <w:p w:rsidR="003D3C04" w:rsidRPr="003D3C04" w:rsidRDefault="003D3C04" w:rsidP="003D3C04">
      <w:pPr>
        <w:pStyle w:val="Sous-titre"/>
        <w:jc w:val="right"/>
        <w:rPr>
          <w:rFonts w:asciiTheme="minorHAnsi" w:hAnsiTheme="minorHAnsi" w:cs="Arial"/>
          <w:i w:val="0"/>
          <w:color w:val="404040" w:themeColor="text1" w:themeTint="BF"/>
          <w:lang w:val="fr-FR"/>
        </w:rPr>
      </w:pPr>
      <w:r w:rsidRPr="003D3C04">
        <w:rPr>
          <w:rFonts w:asciiTheme="minorHAnsi" w:hAnsiTheme="minorHAnsi" w:cs="Arial"/>
          <w:i w:val="0"/>
          <w:color w:val="404040" w:themeColor="text1" w:themeTint="BF"/>
          <w:lang w:val="fr-FR"/>
        </w:rPr>
        <w:t>09270 MAZERES</w:t>
      </w:r>
    </w:p>
    <w:p w:rsidR="003D3C04" w:rsidRPr="003D3C04" w:rsidRDefault="003D3C04" w:rsidP="003D3C04">
      <w:pPr>
        <w:jc w:val="right"/>
        <w:rPr>
          <w:rFonts w:eastAsiaTheme="majorEastAsia" w:cs="Arial"/>
          <w:iCs/>
          <w:color w:val="404040" w:themeColor="text1" w:themeTint="BF"/>
          <w:spacing w:val="15"/>
          <w:sz w:val="16"/>
          <w:szCs w:val="16"/>
        </w:rPr>
      </w:pPr>
      <w:r w:rsidRPr="003D3C04">
        <w:rPr>
          <w:rFonts w:eastAsiaTheme="majorEastAsia" w:cs="Arial"/>
          <w:iCs/>
          <w:color w:val="404040" w:themeColor="text1" w:themeTint="BF"/>
          <w:spacing w:val="15"/>
          <w:sz w:val="16"/>
          <w:szCs w:val="16"/>
        </w:rPr>
        <w:t>Siret 884 652 495 00012</w:t>
      </w:r>
    </w:p>
    <w:p w:rsidR="009024A6" w:rsidRPr="003D3C04" w:rsidRDefault="003D3C04" w:rsidP="003D3C04">
      <w:pPr>
        <w:autoSpaceDE w:val="0"/>
        <w:autoSpaceDN w:val="0"/>
        <w:adjustRightInd w:val="0"/>
        <w:jc w:val="right"/>
        <w:rPr>
          <w:rFonts w:eastAsiaTheme="majorEastAsia" w:cs="Arial"/>
          <w:iCs/>
          <w:color w:val="404040" w:themeColor="text1" w:themeTint="BF"/>
          <w:spacing w:val="15"/>
          <w:sz w:val="16"/>
          <w:szCs w:val="16"/>
        </w:rPr>
      </w:pPr>
      <w:r w:rsidRPr="003D3C04">
        <w:rPr>
          <w:rFonts w:eastAsiaTheme="majorEastAsia" w:cs="Arial"/>
          <w:iCs/>
          <w:color w:val="404040" w:themeColor="text1" w:themeTint="BF"/>
          <w:spacing w:val="15"/>
          <w:sz w:val="16"/>
          <w:szCs w:val="16"/>
        </w:rPr>
        <w:t>Association à but non lucratif de droit français régie par la loi du 1er juillet 1901Répertoire National des Associations (RNA) numéro W092002111</w:t>
      </w:r>
    </w:p>
    <w:sectPr w:rsidR="009024A6" w:rsidRPr="003D3C04" w:rsidSect="005376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2FA8"/>
    <w:rsid w:val="00125506"/>
    <w:rsid w:val="0014766A"/>
    <w:rsid w:val="001F2FA8"/>
    <w:rsid w:val="003D3C04"/>
    <w:rsid w:val="00404068"/>
    <w:rsid w:val="0053760D"/>
    <w:rsid w:val="00624B28"/>
    <w:rsid w:val="006A3A03"/>
    <w:rsid w:val="009024A6"/>
    <w:rsid w:val="009A56BB"/>
    <w:rsid w:val="009C2FB5"/>
    <w:rsid w:val="00CA6B28"/>
    <w:rsid w:val="00D71B00"/>
    <w:rsid w:val="00F3248C"/>
    <w:rsid w:val="00F760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2F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F2FA8"/>
    <w:rPr>
      <w:b/>
      <w:bCs/>
    </w:rPr>
  </w:style>
  <w:style w:type="character" w:customStyle="1" w:styleId="apple-converted-space">
    <w:name w:val="apple-converted-space"/>
    <w:basedOn w:val="Policepardfaut"/>
    <w:rsid w:val="001F2FA8"/>
  </w:style>
  <w:style w:type="paragraph" w:styleId="Textedebulles">
    <w:name w:val="Balloon Text"/>
    <w:basedOn w:val="Normal"/>
    <w:link w:val="TextedebullesCar"/>
    <w:uiPriority w:val="99"/>
    <w:semiHidden/>
    <w:unhideWhenUsed/>
    <w:rsid w:val="001F2F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FA8"/>
    <w:rPr>
      <w:rFonts w:ascii="Tahoma" w:hAnsi="Tahoma" w:cs="Tahoma"/>
      <w:sz w:val="16"/>
      <w:szCs w:val="16"/>
    </w:rPr>
  </w:style>
  <w:style w:type="paragraph" w:customStyle="1" w:styleId="Dateetheure">
    <w:name w:val="Date et heure"/>
    <w:rsid w:val="003D3C04"/>
    <w:pPr>
      <w:spacing w:before="80" w:after="80" w:line="240" w:lineRule="auto"/>
      <w:contextualSpacing/>
    </w:pPr>
    <w:rPr>
      <w:rFonts w:ascii="Tahoma" w:eastAsia="Times New Roman" w:hAnsi="Tahoma" w:cs="Arial"/>
      <w:b/>
      <w:bCs/>
      <w:kern w:val="28"/>
      <w:sz w:val="20"/>
      <w:lang w:val="en-US"/>
    </w:rPr>
  </w:style>
  <w:style w:type="paragraph" w:styleId="Sous-titre">
    <w:name w:val="Subtitle"/>
    <w:basedOn w:val="Normal"/>
    <w:next w:val="Normal"/>
    <w:link w:val="Sous-titreCar"/>
    <w:qFormat/>
    <w:rsid w:val="003D3C04"/>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ous-titreCar">
    <w:name w:val="Sous-titre Car"/>
    <w:basedOn w:val="Policepardfaut"/>
    <w:link w:val="Sous-titre"/>
    <w:rsid w:val="003D3C04"/>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r="http://schemas.openxmlformats.org/officeDocument/2006/relationships" xmlns:w="http://schemas.openxmlformats.org/wordprocessingml/2006/main">
  <w:divs>
    <w:div w:id="14203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60</Words>
  <Characters>330</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5</cp:revision>
  <dcterms:created xsi:type="dcterms:W3CDTF">2018-12-27T16:42:00Z</dcterms:created>
  <dcterms:modified xsi:type="dcterms:W3CDTF">2019-01-20T10:42:00Z</dcterms:modified>
</cp:coreProperties>
</file>